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360" w:lineRule="auto"/>
        <w:rPr>
          <w:i w:val="0"/>
          <w:iCs w:val="0"/>
        </w:rPr>
      </w:pPr>
      <w:bookmarkStart w:colFirst="0" w:colLast="0" w:name="_fgicf88ue0hm" w:id="0"/>
      <w:bookmarkEnd w:id="0"/>
      <w:r w:rsidDel="00000000" w:rsidR="00000000" w:rsidRPr="00000000">
        <w:rPr>
          <w:i w:val="0"/>
          <w:iCs w:val="0"/>
          <w:rtl w:val="0"/>
        </w:rPr>
        <w:t xml:space="preserve">BAB I</w:t>
      </w:r>
    </w:p>
    <w:p w:rsidR="00000000" w:rsidDel="00000000" w:rsidP="00000000" w:rsidRDefault="00000000" w:rsidRPr="00000000" w14:paraId="00000002">
      <w:pPr>
        <w:pStyle w:val="Heading1"/>
        <w:spacing w:line="360" w:lineRule="auto"/>
        <w:rPr>
          <w:i w:val="0"/>
          <w:iCs w:val="0"/>
        </w:rPr>
      </w:pPr>
      <w:bookmarkStart w:colFirst="0" w:colLast="0" w:name="_qoog8zboanwl" w:id="1"/>
      <w:bookmarkEnd w:id="1"/>
      <w:r w:rsidDel="00000000" w:rsidR="00000000" w:rsidRPr="00000000">
        <w:rPr>
          <w:i w:val="0"/>
          <w:iCs w:val="0"/>
          <w:rtl w:val="0"/>
        </w:rPr>
        <w:t xml:space="preserve">PENDAHULUAN</w:t>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2"/>
        <w:numPr>
          <w:ilvl w:val="0"/>
          <w:numId w:val="16"/>
        </w:numPr>
        <w:ind w:left="426" w:hanging="360"/>
        <w:rPr/>
      </w:pPr>
      <w:bookmarkStart w:colFirst="0" w:colLast="0" w:name="_7dzyvjemugkg" w:id="2"/>
      <w:bookmarkEnd w:id="2"/>
      <w:r w:rsidDel="00000000" w:rsidR="00000000" w:rsidRPr="00000000">
        <w:rPr>
          <w:rtl w:val="0"/>
        </w:rPr>
        <w:t xml:space="preserve">Latar Belakang Masalah</w:t>
      </w:r>
    </w:p>
    <w:p w:rsidR="00000000" w:rsidDel="00000000" w:rsidP="00000000" w:rsidRDefault="00000000" w:rsidRPr="00000000" w14:paraId="00000005">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Transformasi sistem pendidikan nasional di era disrupsi digital saat ini menuntut adanya reorientasi fundamental terhadap peran, fungsi, dan kompetensi tenaga pendidik. Guru tidak lagi sekadar menjadi transmiter pengetahuan (</w:t>
      </w:r>
      <w:r w:rsidDel="00000000" w:rsidR="00000000" w:rsidRPr="00000000">
        <w:rPr>
          <w:rFonts w:ascii="Times New Roman" w:cs="Times New Roman" w:eastAsia="Times New Roman" w:hAnsi="Times New Roman"/>
          <w:i w:val="1"/>
          <w:iCs w:val="1"/>
          <w:sz w:val="24"/>
          <w:szCs w:val="24"/>
          <w:rtl w:val="0"/>
        </w:rPr>
        <w:t xml:space="preserve">transmitter of knowledge</w:t>
      </w:r>
      <w:r w:rsidDel="00000000" w:rsidR="00000000" w:rsidRPr="00000000">
        <w:rPr>
          <w:rFonts w:ascii="Times New Roman" w:cs="Times New Roman" w:eastAsia="Times New Roman" w:hAnsi="Times New Roman"/>
          <w:sz w:val="24"/>
          <w:szCs w:val="24"/>
          <w:rtl w:val="0"/>
        </w:rPr>
        <w:t xml:space="preserve">), melainkan harus bertransformasi menjadi fasilitator pembelajaran yang mampu mengorkestrasi ekosistem digital untuk menciptakan pengalaman belajar yang relevan, bermakna, dan kontekstual. Fenomena ini menjadi sangat krusial pada jenjang </w:t>
      </w:r>
      <w:r w:rsidDel="00000000" w:rsidR="00000000" w:rsidRPr="00000000">
        <w:rPr>
          <w:rFonts w:ascii="Times New Roman" w:cs="Times New Roman" w:eastAsia="Times New Roman" w:hAnsi="Times New Roman"/>
          <w:b w:val="0"/>
          <w:bCs w:val="0"/>
          <w:sz w:val="24"/>
          <w:szCs w:val="24"/>
          <w:rtl w:val="0"/>
        </w:rPr>
        <w:t xml:space="preserve">Sekolah Dasar (SD)</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di mana fondasi kompetensi literasi, numerasi, dan karakter peserta didik mulai dibentuk. Dalam konteks ini, penguasaan </w:t>
      </w:r>
      <w:r w:rsidDel="00000000" w:rsidR="00000000" w:rsidRPr="00000000">
        <w:rPr>
          <w:rFonts w:ascii="Times New Roman" w:cs="Times New Roman" w:eastAsia="Times New Roman" w:hAnsi="Times New Roman"/>
          <w:b w:val="0"/>
          <w:bCs w:val="0"/>
          <w:sz w:val="24"/>
          <w:szCs w:val="24"/>
          <w:rtl w:val="0"/>
        </w:rPr>
        <w:t xml:space="preserve">kompetensi digital</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bagi guru SD bukan lagi merupakan opsi tambahan, melainkan prasyarat mutlak untuk menjamin efektivitas implementasi Kurikulum Merdeka yang mengedepankan prinsip pembelajaran berpusat pada murid (</w:t>
      </w:r>
      <w:r w:rsidDel="00000000" w:rsidR="00000000" w:rsidRPr="00000000">
        <w:rPr>
          <w:rFonts w:ascii="Times New Roman" w:cs="Times New Roman" w:eastAsia="Times New Roman" w:hAnsi="Times New Roman"/>
          <w:i w:val="1"/>
          <w:iCs w:val="1"/>
          <w:sz w:val="24"/>
          <w:szCs w:val="24"/>
          <w:rtl w:val="0"/>
        </w:rPr>
        <w:t xml:space="preserve">student-centered learning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6">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normatif, mandat profesionalisme guru berpijak pada landasan konstitusional yang kuat, dimulai dari Undang-Undang Nomor 20 Tahun 2003 tentang Sistem Pendidikan Nasional. Pasal 39 ayat (2) menegaskan bahwa pendidik adalah tenaga profesional yang bertugas merencanakan dan melaksanakan proses pembelajaran, menilai hasil pembelajaran, serta melakukan pembimbingan dan pelatihan. Mandat ini diperkuat oleh Undang-Undang Nomor 14 Tahun 2005 tentang Guru dan Dosen, yang mendefinisikan kompetensi sebagai seperangkat pengetahuan, keterampilan, dan perilaku yang harus dimiliki, dihayati, dan dikuasai oleh guru dalam melaksanakan tugas keprofesionalannya.</w:t>
      </w:r>
    </w:p>
    <w:p w:rsidR="00000000" w:rsidDel="00000000" w:rsidP="00000000" w:rsidRDefault="00000000" w:rsidRPr="00000000" w14:paraId="00000007">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era digital, standar kompetensi tersebut mengalami pembaruan signifikan melalui Peraturan Direktur Jenderal Guru dan Tenaga Kependidikan Nomor 2626/B/HK.04.01/2023 tentang Model Kompetensi Guru. Regulasi ini secara eksplisit mengatur indikator kemampuan guru dalam menggunakan teknologi informasi dan komunikasi (TIK) secara adaptif dalam pembelajaran. Selain itu, Permendikdasmen No 13 Tahun 2026 tentang Perubahan Atas Peraturan Menteri Pendidikan, Kebudayaan, Riset, dan Teknologi Nomor 12 Tahun 2024 tentang Kurikulum Pada Pendidikan Anak Usia Dini, Jenjang Pendidikan Dasar, dan Jenjang Pendidikan Menengah, serta Peraturan Menteri Pendidikan Dasar Dan Menengah Republik Indonesia Nomor 1 Tahun 2026 tentang Standar Proses Pada Pendidikan Anak Usia Dini, Jenjang Pendidikan Dasar, dan Jenjang Pendidikan Menengah juga menekankan pemanfaatan sumber belajar digital untuk menciptakan suasana belajar yang interaktif, inspiratif, dan menyenangkan. Menjawab tantangan tersebut, Kementerian Pendidikan, Dasar, dan Menengah (Kementerian Pendidikan Dasar dan Menengah) meluncurkan Surat Edaran Menteri Pendidikan Dasar dan Menengah Nomor 5684/MDM.B1/HK.04.00/2025 Tentang Hari Belajar Guru. Salah satu esensi utama dari kebijakan ini adalah setiap guru harus menyisihkan waktu minimal satu minggu sekali untuk belajar baik itu secara mandiri maupun dalam komunitas belajar. Sebagai instrumen akselerasi, pemerintah mengeluarkan Surat Edaran Dirjen GTK Nomor 4263/B/HK.04.01/2023 tentang Optimalisasi Komunitas Belajar, yang mengamanatkan setiap satuan pendidikan untuk membentuk wadah kolektif bagi guru guna belajar bersama dan berkolaborasi secara rutin.</w:t>
      </w:r>
    </w:p>
    <w:p w:rsidR="00000000" w:rsidDel="00000000" w:rsidP="00000000" w:rsidRDefault="00000000" w:rsidRPr="00000000" w14:paraId="00000008">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Komunitas Belajar yang baik salah satunya ditujukan dalam rangka peningkatan kompetensi digital guru. Menurut E. Mulyasa (2004: 37-38), kompetensi adalah perpaduan dari pengetahuan, keterampilan, nilai, dan sikap yang direfleksikan dalam kebiasaan berpikir dan bertindak secara konsisten. Sedangkan yang dimaksud dengan digital menurut Musnaini, Suherman, Wijoyo, &amp; Indrawan (2020), adalah sebuah metode yang kompleks dan fleksibel yang menjadikannya pokok dalam kehidupan manusia. Mereka juga menjelaskan bahwa sistem digital adalah perkembangan dari sistem analog, di mana sebuah sistem digital menggunakan urutan angka untuk mewakili informasi.</w:t>
      </w:r>
    </w:p>
    <w:p w:rsidR="00000000" w:rsidDel="00000000" w:rsidP="00000000" w:rsidRDefault="00000000" w:rsidRPr="00000000" w14:paraId="00000009">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 mengamati terdapat beberapa kendala yang terdapat di Komunitas Belajar di Kecamatan Darangdan, Kabupaten Purwakarta dalam hal peningkatan kompetensi digital guru. Salah satu kendala utama adalah minimnya pemahaman yang mendalam mengenai manajemen seperti perencanaan, pengorganisasian, peraksanaan, dan evaluasi dalam konteks komunitas belajar sekolah. Hal ini berdampak pada minimnya efektivitas dan efisien pengelolaan komunitas belajar dalam meningkatkan kompetensi digital guru. Selain itu, setiap komunitas belajar mengalami kendala terhadap konsistensi pelaksanaan program kegiatan komunitas belajar. Beberapa komunitas belajar juga mengalami keterbatasan sarana dan prasarana penunjang.</w:t>
      </w:r>
    </w:p>
    <w:p w:rsidR="00000000" w:rsidDel="00000000" w:rsidP="00000000" w:rsidRDefault="00000000" w:rsidRPr="00000000" w14:paraId="0000000A">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pada pengamatan yang dilakukan terhadap Komunitas Belajar di SDN 1 Darangdan dan SDN 2 Linggasari. Berdasar pengamatan dalam aspek perencanaan, pengorganisasian, pelaksanaan, dan evaluasi ditemukan permasalahan seperti dalam membuat program kegiatan komunitas belajar masih dibuat oleh satu orang yang bertugas. Kemudian, dalam pelaksanaannya perencanaan yang telah disusun dalam implementasinya belum dilakukan secara konsisten. Selanjutnya, dalam hal evaluasi kegiatan belum dilaksanakan secara optimal, karena masih dilakukan hanya setahun sekali. Walaupun sudah terlihat ada perbaikan dalam menjalankan komunitas belajarnya. Implementasi Komunitas Belajar di kedua lokasi tersebut belum terkelola secara optimal masih terlihat adanya variasi dalam kemampuan digital guru dan belum teridentifikasinya program Komunitas Belajar yang fokus dan berkelanjutan pada peningkatan kompetensi tersebut.</w:t>
      </w:r>
    </w:p>
    <w:p w:rsidR="00000000" w:rsidDel="00000000" w:rsidP="00000000" w:rsidRDefault="00000000" w:rsidRPr="00000000" w14:paraId="0000000B">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pengamatan tersebut, terdapat </w:t>
      </w:r>
      <w:r w:rsidDel="00000000" w:rsidR="00000000" w:rsidRPr="00000000">
        <w:rPr>
          <w:rFonts w:ascii="Times New Roman" w:cs="Times New Roman" w:eastAsia="Times New Roman" w:hAnsi="Times New Roman"/>
          <w:i w:val="1"/>
          <w:iCs w:val="1"/>
          <w:sz w:val="24"/>
          <w:szCs w:val="24"/>
          <w:rtl w:val="0"/>
        </w:rPr>
        <w:t xml:space="preserve">research gap</w:t>
      </w:r>
      <w:r w:rsidDel="00000000" w:rsidR="00000000" w:rsidRPr="00000000">
        <w:rPr>
          <w:rFonts w:ascii="Times New Roman" w:cs="Times New Roman" w:eastAsia="Times New Roman" w:hAnsi="Times New Roman"/>
          <w:sz w:val="24"/>
          <w:szCs w:val="24"/>
          <w:rtl w:val="0"/>
        </w:rPr>
        <w:t xml:space="preserve"> antara data normatif yaitu dari segi regulasi dan teori manajemen dengan realitas di lapangan. Untuk mengatasi hambatan tersebut, diperlukan manajemen yang sistematis dalam mengelola Komunitas Belajar di sekolah. Merujuk pada </w:t>
      </w:r>
      <w:r w:rsidDel="00000000" w:rsidR="00000000" w:rsidRPr="00000000">
        <w:rPr>
          <w:rFonts w:ascii="Times New Roman" w:cs="Times New Roman" w:eastAsia="Times New Roman" w:hAnsi="Times New Roman"/>
          <w:i w:val="1"/>
          <w:iCs w:val="1"/>
          <w:sz w:val="24"/>
          <w:szCs w:val="24"/>
          <w:rtl w:val="0"/>
        </w:rPr>
        <w:t xml:space="preserve">Grand Theory</w:t>
      </w:r>
      <w:r w:rsidDel="00000000" w:rsidR="00000000" w:rsidRPr="00000000">
        <w:rPr>
          <w:rFonts w:ascii="Times New Roman" w:cs="Times New Roman" w:eastAsia="Times New Roman" w:hAnsi="Times New Roman"/>
          <w:sz w:val="24"/>
          <w:szCs w:val="24"/>
          <w:rtl w:val="0"/>
        </w:rPr>
        <w:t xml:space="preserve"> manajemen dari George R. Terry, manajemen adalah suatu proses khas yang terdiri dari tindakan-tindakan perencanaan (</w:t>
      </w:r>
      <w:r w:rsidDel="00000000" w:rsidR="00000000" w:rsidRPr="00000000">
        <w:rPr>
          <w:rFonts w:ascii="Times New Roman" w:cs="Times New Roman" w:eastAsia="Times New Roman" w:hAnsi="Times New Roman"/>
          <w:i w:val="1"/>
          <w:iCs w:val="1"/>
          <w:sz w:val="24"/>
          <w:szCs w:val="24"/>
          <w:rtl w:val="0"/>
        </w:rPr>
        <w:t xml:space="preserve">planning</w:t>
      </w:r>
      <w:r w:rsidDel="00000000" w:rsidR="00000000" w:rsidRPr="00000000">
        <w:rPr>
          <w:rFonts w:ascii="Times New Roman" w:cs="Times New Roman" w:eastAsia="Times New Roman" w:hAnsi="Times New Roman"/>
          <w:sz w:val="24"/>
          <w:szCs w:val="24"/>
          <w:rtl w:val="0"/>
        </w:rPr>
        <w:t xml:space="preserve">), pengorganisasian (</w:t>
      </w:r>
      <w:r w:rsidDel="00000000" w:rsidR="00000000" w:rsidRPr="00000000">
        <w:rPr>
          <w:rFonts w:ascii="Times New Roman" w:cs="Times New Roman" w:eastAsia="Times New Roman" w:hAnsi="Times New Roman"/>
          <w:i w:val="1"/>
          <w:iCs w:val="1"/>
          <w:sz w:val="24"/>
          <w:szCs w:val="24"/>
          <w:rtl w:val="0"/>
        </w:rPr>
        <w:t xml:space="preserve">organizing</w:t>
      </w:r>
      <w:r w:rsidDel="00000000" w:rsidR="00000000" w:rsidRPr="00000000">
        <w:rPr>
          <w:rFonts w:ascii="Times New Roman" w:cs="Times New Roman" w:eastAsia="Times New Roman" w:hAnsi="Times New Roman"/>
          <w:sz w:val="24"/>
          <w:szCs w:val="24"/>
          <w:rtl w:val="0"/>
        </w:rPr>
        <w:t xml:space="preserve">), penggerakan (</w:t>
      </w:r>
      <w:r w:rsidDel="00000000" w:rsidR="00000000" w:rsidRPr="00000000">
        <w:rPr>
          <w:rFonts w:ascii="Times New Roman" w:cs="Times New Roman" w:eastAsia="Times New Roman" w:hAnsi="Times New Roman"/>
          <w:i w:val="1"/>
          <w:iCs w:val="1"/>
          <w:sz w:val="24"/>
          <w:szCs w:val="24"/>
          <w:rtl w:val="0"/>
        </w:rPr>
        <w:t xml:space="preserve">actuating</w:t>
      </w:r>
      <w:r w:rsidDel="00000000" w:rsidR="00000000" w:rsidRPr="00000000">
        <w:rPr>
          <w:rFonts w:ascii="Times New Roman" w:cs="Times New Roman" w:eastAsia="Times New Roman" w:hAnsi="Times New Roman"/>
          <w:sz w:val="24"/>
          <w:szCs w:val="24"/>
          <w:rtl w:val="0"/>
        </w:rPr>
        <w:t xml:space="preserve">), dan pengendalian (</w:t>
      </w:r>
      <w:r w:rsidDel="00000000" w:rsidR="00000000" w:rsidRPr="00000000">
        <w:rPr>
          <w:rFonts w:ascii="Times New Roman" w:cs="Times New Roman" w:eastAsia="Times New Roman" w:hAnsi="Times New Roman"/>
          <w:i w:val="1"/>
          <w:iCs w:val="1"/>
          <w:sz w:val="24"/>
          <w:szCs w:val="24"/>
          <w:rtl w:val="0"/>
        </w:rPr>
        <w:t xml:space="preserve">controlling</w:t>
      </w:r>
      <w:r w:rsidDel="00000000" w:rsidR="00000000" w:rsidRPr="00000000">
        <w:rPr>
          <w:rFonts w:ascii="Times New Roman" w:cs="Times New Roman" w:eastAsia="Times New Roman" w:hAnsi="Times New Roman"/>
          <w:sz w:val="24"/>
          <w:szCs w:val="24"/>
          <w:rtl w:val="0"/>
        </w:rPr>
        <w:t xml:space="preserve">) yang dilakukan untuk mencapai sasaran melalui pemanfaatan sumber daya manusia dan sumber daya lainnya. Tanpa manajemen yang kuat, komunitas belajar hanya akan menjadi kerumunan tanpa arah, namun dengan manajemen yang tepat, ia akan menjadi jantung dari transformasi digital pendidikan.</w:t>
      </w:r>
    </w:p>
    <w:p w:rsidR="00000000" w:rsidDel="00000000" w:rsidP="00000000" w:rsidRDefault="00000000" w:rsidRPr="00000000" w14:paraId="0000000C">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Perspektif ini diperkuat oleh pemikiran E. Mulyasa, yang menyatakan bahwa adanya perhatian bersama untuk mengambil keputusan, memberdayakan guru, manajemen sekolah, rancang ulang sekolah, dan perubahan perencanaan (Mulyasa, 2014: 25). Manajemen pendidikan adalah proses pemberdayaan seluruh sumber dan potensi untuk mencapai tujuan secara efektif dan efisien. Kompetensi guru harus dikembangkan secara utuh, mencakup perpaduan kemampuan personal, keilmuan, teknologi, sosial, dan spiritual. Dalam konteks Manajemen Berbasis Sekolah, pentingnya kemandirian, inisiatif, dan fleksibilitas sekolah dalam mengidentifikasi tantangan digital serta menyelesaikannya melalui kolaborasi tim yang profesional. Selain itu, peran Kepala Sekolah sebagai manajer dan pemimpin transformasional menjadi determinan utama dalam menciptakan iklim pembelajaran yang kondusif bagi guru untuk terus meningkatkan kompetensi digitalnya.</w:t>
      </w:r>
    </w:p>
    <w:p w:rsidR="00000000" w:rsidDel="00000000" w:rsidP="00000000" w:rsidRDefault="00000000" w:rsidRPr="00000000" w14:paraId="0000000D">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paparan di atas, urgensi penelitian ini terletak pada upaya mengeksplorasi bagaimana fungsi-fungsi manajemen POAC dari George R. Terry diimplementasikan dalam wadah Komunitas Belajar guna meningkatkan kompetensi digital guru. Harapannya bahwa kompetensi digital berkontribusi lebih besar terhadap kinerja guru dan produktivitas disektor pendidikan dasar. Oleh karena itu, peneliti tertarik untuk melakukan penelitian dengan judul “Manajemen Komunitas Belajar Guru Dalam Upaya Meningkatkan Kompetensi Digital Guru Sekolah Dasar”.</w:t>
      </w:r>
    </w:p>
    <w:p w:rsidR="00000000" w:rsidDel="00000000" w:rsidP="00000000" w:rsidRDefault="00000000" w:rsidRPr="00000000" w14:paraId="0000000E">
      <w:pPr>
        <w:pStyle w:val="Heading2"/>
        <w:numPr>
          <w:ilvl w:val="0"/>
          <w:numId w:val="16"/>
        </w:numPr>
        <w:ind w:left="426" w:hanging="360"/>
        <w:rPr/>
      </w:pPr>
      <w:bookmarkStart w:colFirst="0" w:colLast="0" w:name="_ytvgx2ee4od3" w:id="3"/>
      <w:bookmarkEnd w:id="3"/>
      <w:r w:rsidDel="00000000" w:rsidR="00000000" w:rsidRPr="00000000">
        <w:rPr>
          <w:rtl w:val="0"/>
        </w:rPr>
        <w:t xml:space="preserve">Perumusan dan Pembatasan Masalah</w:t>
      </w:r>
    </w:p>
    <w:p w:rsidR="00000000" w:rsidDel="00000000" w:rsidP="00000000" w:rsidRDefault="00000000" w:rsidRPr="00000000" w14:paraId="0000000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Perumusan Masalah</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Penyelenggaraan pendidikan dasar yang bermutu menuntut sinergi antara regulasi kebijakan dan implementasi manajerial yang presisi. Di tengah arus transformasi digital, mempertegas bahwa penguasaan teknologi secara adaptif merupakan indikator vital bagi model kompetensi guru saat ini. Permasalahan dalam manajemen Komunitas Belajar merupakan masalah yang terus berkembang, baik dari sisi perencanaan, pengorganisasian, pelaksanaan dan evaluasi. Hal ini dikarenakan belum optimalnya kesadaran guru tentang manajemen Komunitas Belajar. Disamping belum optimalnya pelaksanaan regulasi yang mengatur peningkatan kompetensi guru dan komunitas belajar guru. Sehingga menimbulkan belum optimalnya peningkatan kompetensi digital guru, yang pada akhirnya berdampak terhadap rendahnya kualitas kompetensi digital guru. Terkait dengan beberapa hal tersebut rumusan masalah dari Manajemen Komunitas Belajar Guru Dalam Meningkatkan Kompetensi Digital Guru Sekolah Dasar, terdeskripsi dalam bagan dibawah ini.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9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bogcikw043ju" w:id="4"/>
      <w:bookmarkEnd w:id="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Gambar 1. 1 Perumusan Masalah</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1271</wp:posOffset>
                </wp:positionH>
                <wp:positionV relativeFrom="paragraph">
                  <wp:posOffset>124460</wp:posOffset>
                </wp:positionV>
                <wp:extent cx="5359546" cy="3388037"/>
                <wp:effectExtent b="0" l="0" r="0" t="0"/>
                <wp:wrapSquare wrapText="bothSides" distB="0" distT="0" distL="114300" distR="114300"/>
                <wp:docPr id="1" name=""/>
                <a:graphic>
                  <a:graphicData uri="http://schemas.microsoft.com/office/word/2010/wordprocessingGroup">
                    <wpg:wgp>
                      <wpg:cNvGrpSpPr/>
                      <wpg:grpSpPr>
                        <a:xfrm>
                          <a:off x="2659875" y="1604825"/>
                          <a:ext cx="5359546" cy="3388037"/>
                          <a:chOff x="2659875" y="1604825"/>
                          <a:chExt cx="5372250" cy="3875550"/>
                        </a:xfrm>
                      </wpg:grpSpPr>
                      <wpg:grpSp>
                        <wpg:cNvGrpSpPr/>
                        <wpg:grpSpPr>
                          <a:xfrm>
                            <a:off x="2666227" y="2085982"/>
                            <a:ext cx="5359546" cy="3388037"/>
                            <a:chOff x="0" y="0"/>
                            <a:chExt cx="4919187" cy="3514736"/>
                          </a:xfrm>
                        </wpg:grpSpPr>
                        <wps:wsp>
                          <wps:cNvSpPr/>
                          <wps:cNvPr id="3" name="Shape 3"/>
                          <wps:spPr>
                            <a:xfrm>
                              <a:off x="0" y="0"/>
                              <a:ext cx="4919175" cy="3514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136393" y="0"/>
                              <a:ext cx="1504950" cy="1289050"/>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Instrumental Input</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UU Nomor 20 Tahun 2003</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UU Nomor 14 Tahun 2005</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Perdirjen GTK No. 2626/B/HK.04.01/2023</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SE Mendikdasmen No 5684/MDM.B1/HK.04.00/2025</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SE Dirjen GTK Kepmendikbudristek No 4263/B/HK.04.01/2023</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Kurikulum</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Sarana prasarana</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Sumber Daya Manusia</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p>
                            </w:txbxContent>
                          </wps:txbx>
                          <wps:bodyPr anchorCtr="0" anchor="ctr" bIns="45700" lIns="91425" spcFirstLastPara="1" rIns="91425" wrap="square" tIns="45700">
                            <a:noAutofit/>
                          </wps:bodyPr>
                        </wps:wsp>
                        <wps:wsp>
                          <wps:cNvSpPr/>
                          <wps:cNvPr id="5" name="Shape 5"/>
                          <wps:spPr>
                            <a:xfrm>
                              <a:off x="1136393" y="1612093"/>
                              <a:ext cx="1504950" cy="761119"/>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Management Process</w:t>
                                </w:r>
                              </w:p>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1"/>
                                    <w:i w:val="0"/>
                                    <w:smallCaps w:val="0"/>
                                    <w:strike w:val="0"/>
                                    <w:color w:val="000000"/>
                                    <w:sz w:val="12"/>
                                    <w:vertAlign w:val="baseline"/>
                                  </w:rPr>
                                  <w:t xml:space="preserve">Manajemen Komunitas Belajar Guru</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1"/>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Perencanaan</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Pengorganisasian</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Pelaksanaan</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Pengawasan/ Evaluasi</w:t>
                                </w:r>
                              </w:p>
                            </w:txbxContent>
                          </wps:txbx>
                          <wps:bodyPr anchorCtr="0" anchor="ctr" bIns="45700" lIns="91425" spcFirstLastPara="1" rIns="91425" wrap="square" tIns="45700">
                            <a:noAutofit/>
                          </wps:bodyPr>
                        </wps:wsp>
                        <wps:wsp>
                          <wps:cNvSpPr/>
                          <wps:cNvPr id="6" name="Shape 6"/>
                          <wps:spPr>
                            <a:xfrm>
                              <a:off x="1252675" y="2700916"/>
                              <a:ext cx="1273817" cy="560268"/>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Environmental Input</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Kepala Sekolah</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Pengawas</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Komite</w:t>
                                </w:r>
                              </w:p>
                              <w:p w:rsidR="00000000" w:rsidDel="00000000" w:rsidP="00000000" w:rsidRDefault="00000000" w:rsidRPr="00000000">
                                <w:pPr>
                                  <w:spacing w:after="0" w:before="0" w:line="240"/>
                                  <w:ind w:left="266.00000381469727" w:right="227.00000762939453" w:firstLine="65.99999904632568"/>
                                  <w:jc w:val="both"/>
                                  <w:textDirection w:val="btLr"/>
                                </w:pPr>
                                <w:r w:rsidDel="00000000" w:rsidR="00000000" w:rsidRPr="00000000">
                                  <w:rPr>
                                    <w:rFonts w:ascii="Times New Roman" w:cs="Times New Roman" w:eastAsia="Times New Roman" w:hAnsi="Times New Roman"/>
                                    <w:b w:val="0"/>
                                    <w:i w:val="0"/>
                                    <w:smallCaps w:val="0"/>
                                    <w:strike w:val="0"/>
                                    <w:color w:val="000000"/>
                                    <w:sz w:val="12"/>
                                    <w:vertAlign w:val="baseline"/>
                                  </w:rPr>
                                </w:r>
                                <w:r w:rsidDel="00000000" w:rsidR="00000000" w:rsidRPr="00000000">
                                  <w:rPr>
                                    <w:rFonts w:ascii="Times New Roman" w:cs="Times New Roman" w:eastAsia="Times New Roman" w:hAnsi="Times New Roman"/>
                                    <w:b w:val="0"/>
                                    <w:i w:val="1"/>
                                    <w:smallCaps w:val="0"/>
                                    <w:strike w:val="0"/>
                                    <w:color w:val="000000"/>
                                    <w:sz w:val="12"/>
                                    <w:vertAlign w:val="baseline"/>
                                  </w:rPr>
                                  <w:t xml:space="preserve">Stakeholder</w:t>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 terkait</w:t>
                                </w:r>
                              </w:p>
                            </w:txbxContent>
                          </wps:txbx>
                          <wps:bodyPr anchorCtr="0" anchor="ctr" bIns="45700" lIns="91425" spcFirstLastPara="1" rIns="91425" wrap="square" tIns="45700">
                            <a:noAutofit/>
                          </wps:bodyPr>
                        </wps:wsp>
                        <wps:wsp>
                          <wps:cNvSpPr/>
                          <wps:cNvPr id="7" name="Shape 7"/>
                          <wps:spPr>
                            <a:xfrm>
                              <a:off x="0" y="1617378"/>
                              <a:ext cx="812316" cy="760245"/>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Raw Input</w:t>
                                </w:r>
                              </w:p>
                              <w:p w:rsidR="00000000" w:rsidDel="00000000" w:rsidP="00000000" w:rsidRDefault="00000000" w:rsidRPr="00000000">
                                <w:pPr>
                                  <w:spacing w:after="0" w:before="0" w:line="240"/>
                                  <w:ind w:left="283.99999618530273" w:right="227.0000076293945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p>
                              <w:p w:rsidR="00000000" w:rsidDel="00000000" w:rsidP="00000000" w:rsidRDefault="00000000" w:rsidRPr="00000000">
                                <w:pPr>
                                  <w:spacing w:after="0" w:before="0" w:line="240"/>
                                  <w:ind w:left="141.99999809265137" w:right="115"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Guru</w:t>
                                </w:r>
                              </w:p>
                            </w:txbxContent>
                          </wps:txbx>
                          <wps:bodyPr anchorCtr="0" anchor="ctr" bIns="45700" lIns="91425" spcFirstLastPara="1" rIns="91425" wrap="square" tIns="45700">
                            <a:noAutofit/>
                          </wps:bodyPr>
                        </wps:wsp>
                        <wps:wsp>
                          <wps:cNvSpPr/>
                          <wps:cNvPr id="8" name="Shape 8"/>
                          <wps:spPr>
                            <a:xfrm>
                              <a:off x="2965193" y="1617378"/>
                              <a:ext cx="812316" cy="760245"/>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Output</w:t>
                                </w:r>
                              </w:p>
                              <w:p w:rsidR="00000000" w:rsidDel="00000000" w:rsidP="00000000" w:rsidRDefault="00000000" w:rsidRPr="00000000">
                                <w:pPr>
                                  <w:spacing w:after="0" w:before="0" w:line="240"/>
                                  <w:ind w:left="283.99999618530273" w:right="227.0000076293945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p>
                              <w:p w:rsidR="00000000" w:rsidDel="00000000" w:rsidP="00000000" w:rsidRDefault="00000000" w:rsidRPr="00000000">
                                <w:pPr>
                                  <w:spacing w:after="0" w:before="0" w:line="240"/>
                                  <w:ind w:left="0" w:right="123.0000019073486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Peningkatan Kompetensi Digital Guru</w:t>
                                </w:r>
                              </w:p>
                            </w:txbxContent>
                          </wps:txbx>
                          <wps:bodyPr anchorCtr="0" anchor="ctr" bIns="45700" lIns="91425" spcFirstLastPara="1" rIns="91425" wrap="square" tIns="45700">
                            <a:noAutofit/>
                          </wps:bodyPr>
                        </wps:wsp>
                        <wps:wsp>
                          <wps:cNvSpPr/>
                          <wps:cNvPr id="9" name="Shape 9"/>
                          <wps:spPr>
                            <a:xfrm>
                              <a:off x="4106871" y="1617378"/>
                              <a:ext cx="812316" cy="760245"/>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Outcome</w:t>
                                </w:r>
                              </w:p>
                              <w:p w:rsidR="00000000" w:rsidDel="00000000" w:rsidP="00000000" w:rsidRDefault="00000000" w:rsidRPr="00000000">
                                <w:pPr>
                                  <w:spacing w:after="0" w:before="0" w:line="240"/>
                                  <w:ind w:left="283.99999618530273" w:right="227.00000762939453"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p>
                              <w:p w:rsidR="00000000" w:rsidDel="00000000" w:rsidP="00000000" w:rsidRDefault="00000000" w:rsidRPr="00000000">
                                <w:pPr>
                                  <w:spacing w:after="0" w:before="0" w:line="240"/>
                                  <w:ind w:left="141.99999809265137" w:right="121.99999809265137" w:firstLine="0"/>
                                  <w:jc w:val="both"/>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r>
                                <w:r w:rsidDel="00000000" w:rsidR="00000000" w:rsidRPr="00000000">
                                  <w:rPr>
                                    <w:rFonts w:ascii="Times New Roman" w:cs="Times New Roman" w:eastAsia="Times New Roman" w:hAnsi="Times New Roman"/>
                                    <w:b w:val="0"/>
                                    <w:i w:val="0"/>
                                    <w:smallCaps w:val="0"/>
                                    <w:strike w:val="0"/>
                                    <w:color w:val="000000"/>
                                    <w:sz w:val="12"/>
                                    <w:vertAlign w:val="baseline"/>
                                  </w:rPr>
                                  <w:t xml:space="preserve">Guru Digital</w:t>
                                </w:r>
                              </w:p>
                            </w:txbxContent>
                          </wps:txbx>
                          <wps:bodyPr anchorCtr="0" anchor="ctr" bIns="45700" lIns="91425" spcFirstLastPara="1" rIns="91425" wrap="square" tIns="45700">
                            <a:noAutofit/>
                          </wps:bodyPr>
                        </wps:wsp>
                        <wps:wsp>
                          <wps:cNvSpPr/>
                          <wps:cNvPr id="10" name="Shape 10"/>
                          <wps:spPr>
                            <a:xfrm>
                              <a:off x="872115" y="192184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00915" y="192184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842594" y="192184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rot="5400000">
                              <a:off x="1795723" y="1362308"/>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rot="-5400000">
                              <a:off x="1795723" y="2433182"/>
                              <a:ext cx="206137" cy="179709"/>
                            </a:xfrm>
                            <a:prstGeom prst="rightArrow">
                              <a:avLst>
                                <a:gd fmla="val 50000" name="adj1"/>
                                <a:gd fmla="val 50000" name="adj2"/>
                              </a:avLst>
                            </a:prstGeom>
                            <a:solidFill>
                              <a:schemeClr val="accen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3483176" y="3282326"/>
                              <a:ext cx="812165" cy="232410"/>
                            </a:xfrm>
                            <a:prstGeom prst="rect">
                              <a:avLst/>
                            </a:prstGeom>
                            <a:solidFill>
                              <a:schemeClr val="accent4"/>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141.99999809265137" w:right="227.00000762939453" w:firstLine="141.99999809265137"/>
                                  <w:jc w:val="center"/>
                                  <w:textDirection w:val="btLr"/>
                                </w:pPr>
                                <w:r w:rsidDel="00000000" w:rsidR="00000000" w:rsidRPr="00000000">
                                  <w:rPr>
                                    <w:rFonts w:ascii="Times New Roman" w:cs="Times New Roman" w:eastAsia="Times New Roman" w:hAnsi="Times New Roman"/>
                                    <w:b w:val="1"/>
                                    <w:i w:val="1"/>
                                    <w:smallCaps w:val="0"/>
                                    <w:strike w:val="0"/>
                                    <w:color w:val="000000"/>
                                    <w:sz w:val="12"/>
                                    <w:vertAlign w:val="baseline"/>
                                  </w:rPr>
                                  <w:t xml:space="preserve">Feedback</w:t>
                                </w:r>
                              </w:p>
                            </w:txbxContent>
                          </wps:txbx>
                          <wps:bodyPr anchorCtr="0" anchor="ctr" bIns="45700" lIns="91425" spcFirstLastPara="1" rIns="91425" wrap="square" tIns="45700">
                            <a:noAutofit/>
                          </wps:bodyPr>
                        </wps:wsp>
                        <wps:wsp>
                          <wps:cNvCnPr/>
                          <wps:spPr>
                            <a:xfrm>
                              <a:off x="4505490" y="2420782"/>
                              <a:ext cx="0" cy="103658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310956" y="2420782"/>
                              <a:ext cx="0" cy="1036585"/>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rot="10800000">
                              <a:off x="335191" y="2421883"/>
                              <a:ext cx="0" cy="103632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332989" y="3456749"/>
                              <a:ext cx="4170299" cy="0"/>
                            </a:xfrm>
                            <a:prstGeom prst="straightConnector1">
                              <a:avLst/>
                            </a:prstGeom>
                            <a:noFill/>
                            <a:ln cap="flat" cmpd="sng" w="9525">
                              <a:solidFill>
                                <a:schemeClr val="dk1"/>
                              </a:solidFill>
                              <a:prstDash val="dash"/>
                              <a:round/>
                              <a:headEnd len="sm" w="sm" type="none"/>
                              <a:tailEnd len="sm" w="sm" type="none"/>
                            </a:ln>
                          </wps:spPr>
                          <wps:bodyPr anchorCtr="0" anchor="ctr" bIns="91425" lIns="91425" spcFirstLastPara="1" rIns="91425" wrap="square" tIns="91425">
                            <a:noAutofit/>
                          </wps:bodyPr>
                        </wps:wsp>
                        <wps:wsp>
                          <wps:cNvCnPr/>
                          <wps:spPr>
                            <a:xfrm rot="10800000">
                              <a:off x="1165023" y="2421883"/>
                              <a:ext cx="0" cy="1036320"/>
                            </a:xfrm>
                            <a:prstGeom prst="straightConnector1">
                              <a:avLst/>
                            </a:prstGeom>
                            <a:noFill/>
                            <a:ln cap="flat" cmpd="sng" w="9525">
                              <a:solidFill>
                                <a:schemeClr val="accent1"/>
                              </a:solidFill>
                              <a:prstDash val="solid"/>
                              <a:miter lim="800000"/>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1271</wp:posOffset>
                </wp:positionH>
                <wp:positionV relativeFrom="paragraph">
                  <wp:posOffset>124460</wp:posOffset>
                </wp:positionV>
                <wp:extent cx="5359546" cy="3388037"/>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359546" cy="3388037"/>
                        </a:xfrm>
                        <a:prstGeom prst="rect"/>
                        <a:ln/>
                      </pic:spPr>
                    </pic:pic>
                  </a:graphicData>
                </a:graphic>
              </wp:anchor>
            </w:drawing>
          </mc:Fallback>
        </mc:AlternateConten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51" w:right="0" w:firstLine="2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51" w:right="0" w:firstLine="239.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2" w:right="0" w:firstLine="283.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Penjelasan mengenai perumusan masalah sesuai dari gambar diatas dapat dijelaskan seperti berikut:</w:t>
      </w:r>
    </w:p>
    <w:p w:rsidR="00000000" w:rsidDel="00000000" w:rsidP="00000000" w:rsidRDefault="00000000" w:rsidRPr="00000000" w14:paraId="0000001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Raw Input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komponen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raw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termasuk didalamnya yaitu Guru, nilai-nilai yang diyakini guru, dan komunitas pengembangan keprofesian guru. Guru Sekolah Dasar sebagai Subjek Transformasi Dalam sistem manajemen ini,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Raw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atau bahan dasar yang menjadi fokus utama adalah Guru Sekolah Dasar. Guru diposisikan bukan sebagai objek pasif, melainkan sebagai aset insani yang memiliki potensi, latar belakang, dan tingkat literasi digital awal yang beragam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heterogen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Keberadaan guru dalam komunitas belajar adalah titik berangkat dari proses transformasi ini. Kualitas awal, motivasi, dan kesiapan guru untuk berubah merupakan variabel penentu yang akan diproses. Tanpa adanya guru yang bersedia untuk belajar dan berbagi praktik baik, sistem manajemen komunitas belajar tidak akan memiliki substansi untuk dikelola.</w:t>
      </w:r>
    </w:p>
    <w:p w:rsidR="00000000" w:rsidDel="00000000" w:rsidP="00000000" w:rsidRDefault="00000000" w:rsidRPr="00000000" w14:paraId="0000001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Instrumental Input</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yuridis dan dukungan infrastruktur sebagai pemandu arah agar proses transformasi guru berjalan sesuai dengan standar nasional, diperlukan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Instrumental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berfungsi sebagai alat pengendali dan pedoman. Instrumen ini terbagi menjadi dua kategori utama:</w:t>
      </w:r>
    </w:p>
    <w:p w:rsidR="00000000" w:rsidDel="00000000" w:rsidP="00000000" w:rsidRDefault="00000000" w:rsidRPr="00000000" w14:paraId="0000001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567"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Regulasi: Fondasi hukum penelitian ini berpijak pada hierarki perundang-undangan yang kokoh, dimulai dari UU Nomor 20 Tahun 2003 tentang Sisdiknas dan UU Nomor 14 Tahun 2005 tentang Guru dan Dosen sebagai payung hukum utama. Secara spesifik, arah kompetensi guru dipandu oleh Perdirjen GTK No. 2626/B/HK.04.01/2023 yang menetapkan model kompetensi guru, serta SE Dirjen GTK No 4263/B/HK.04.01/2023 yang memberikan mandat optimalisasi komunitas belajar. Lebih jauh, penelitian ini merespons dinamika kebijakan terbaru melalui SE Mendikdasmen No 5684/MDM.B1/HK.04.00/2025, yang menjadi instrumen mutakhir dalam penataan guru di era baru.</w:t>
      </w:r>
    </w:p>
    <w:p w:rsidR="00000000" w:rsidDel="00000000" w:rsidP="00000000" w:rsidRDefault="00000000" w:rsidRPr="00000000" w14:paraId="0000001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567"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Sumber Daya Pendukung: Selain regulasi, keberhasilan manajemen juga didukung oleh Kurikulum yang adaptif, ketersediaan Sarana Prasarana (seperti akses internet dan perangkat digital), serta kualitas Sumber Daya Manusia (narasumber atau fasilitator) yang kompeten dalam memandu transfer pengetahuan di dalam komunitas.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Instrumental Input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masih terdapat masalah seperti belum pahamnya guru terhadap model kompetensi guru. Sehingga masih ada guru yang hanya mengikuti komunitas belajar untuk menggugurkan kewajiban saja tanpa memahami esensi kompetensi yang harus ditingkatkan. Keterbatasan sarana penunjang juga masih menjadi kendala, dalam pelaksanaan peningkatan kompetensi digital di komunitas belajar.</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Management Process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Implementasi Fungsi Manajemen G.R. Terry dalam Komunitas Belajar Guru adalah inti dari penelitian ini yang terletak pada proses transformasi yang menggunakan pendekatan manajemen G.R. Terry (POAC) untuk mengelola komunitas belajar:</w:t>
      </w:r>
    </w:p>
    <w:p w:rsidR="00000000" w:rsidDel="00000000" w:rsidP="00000000" w:rsidRDefault="00000000" w:rsidRPr="00000000" w14:paraId="0000001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Tahap penetapan tujuan strategis komunitas belajar, analisis kebutuhan kompetensi digital guru, serta penyusunan jadwal dan materi pelatihan yang mengacu pada regulasi yang berlaku.</w:t>
      </w:r>
    </w:p>
    <w:p w:rsidR="00000000" w:rsidDel="00000000" w:rsidP="00000000" w:rsidRDefault="00000000" w:rsidRPr="00000000" w14:paraId="0000002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Pembagian peran dalam komunitas belajar, pembentukan tim kecil, serta pengalokasian sumber daya (sarana dan instrumen) agar setiap guru memiliki tanggung jawab partisipatif.</w:t>
      </w:r>
    </w:p>
    <w:p w:rsidR="00000000" w:rsidDel="00000000" w:rsidP="00000000" w:rsidRDefault="00000000" w:rsidRPr="00000000" w14:paraId="0000002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Implementasi nyata dari kegiatan berbagi praktik baik, workshop digitalisasi pembelajaran, dan pendampingan sebaya (peer coaching) yang digerakkan oleh motivasi intrinsik guru dan dorongan kepala sekolah.</w:t>
      </w:r>
    </w:p>
    <w:p w:rsidR="00000000" w:rsidDel="00000000" w:rsidP="00000000" w:rsidRDefault="00000000" w:rsidRPr="00000000" w14:paraId="0000002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Proses monitoring dan evaluasi untuk mengukur ketercapaian target kompetensi digital, mengidentifikasi kendala teknis, serta memastikan kegiatan tetap berada pada koridor regulasi SE Dirjen GTK dan Perdirjen GTK yang diacu.</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aspek ini masih terdapat masalah yakni perencanaan masih dilakukan oleh satu orang. Pelaksanaan kegiatan masih bertumpu pada beberapa guru saja. Sehingga peningkatan kompetensi digital masih belum merata.</w:t>
      </w:r>
    </w:p>
    <w:p w:rsidR="00000000" w:rsidDel="00000000" w:rsidP="00000000" w:rsidRDefault="00000000" w:rsidRPr="00000000" w14:paraId="0000002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Environmental Input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Ekosistem Pendukung Kebijakan dan Iklim Sekolah Proses manajemen tidak berjalan di ruang hampa, melainkan dipengaruhi oleh Environmental Input yang menciptakan iklim kondusif. Dalam konteks ini, Kepala Sekolah memegang peran sentral sebagai policymaker di tingkat satuan pendidikan yang memberikan izin dan motivasi. Sinergi ini diperkuat oleh peran Pengawas Sekolah yang memberikan pembinaan manajerial dan supervisi akademik, serta Komite Sekolah yang memberikan dukungan moral maupun material dari sisi masyarakat. Ketiga elemen lingkungan ini menciptakan atmosfer tekanan positif dan dukungan sosial yang memastikan komunitas belajar tetap hidup, relevan, dan berkelanjutan.</w:t>
      </w:r>
    </w:p>
    <w:p w:rsidR="00000000" w:rsidDel="00000000" w:rsidP="00000000" w:rsidRDefault="00000000" w:rsidRPr="00000000" w14:paraId="0000002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Output</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Peningkatan kompetensi digital guru yang langsung terasa dari bekerjanya sistem manajemen tersebut adalah terjadinya peningkatan kapasitas guru, khususnya dalam aspek digital.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ini terindikasi dari kemampuan guru dalam mengoperasikan perangkat teknologi pembelajaran, memanfaatkan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platform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digital, menyusun media pembelajaran interaktif, serta kemampuan beradaptasi dengan sistem administrasi berbasis digital. Guru yang awalnya gagap teknologi bertransformasi menjadi guru yang cakap digital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digitally literate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sesuai dengan standar kompetensi yang ditetapkan pemerintah.</w:t>
      </w:r>
    </w:p>
    <w:p w:rsidR="00000000" w:rsidDel="00000000" w:rsidP="00000000" w:rsidRDefault="00000000" w:rsidRPr="00000000" w14:paraId="0000002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Outcome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Terwujudnya guru teladan yang profesional melampaui sekadar kompetensi teknis,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jangka panjang dari manajemen komunitas belajar yang efektif adalah lahirnya sosok Guru Teladan. Guru teladan adalah manifestasi dari pendidik yang tidak hanya memiliki skill digital, tetapi juga mampu mengintegrasikannya untuk meningkatkan kualitas pembelajaran peserta didik secara holistik. Mereka menjadi agen perubahan yang menginspirasi rekan sejawat, memiliki kinerja tinggi, dan mampu menjawab tantangan pendidikan masa depan, sebagaimana dicita-citakan dalam Undang-Undang Sistem Pendidikan Nasional.</w:t>
      </w:r>
    </w:p>
    <w:p w:rsidR="00000000" w:rsidDel="00000000" w:rsidP="00000000" w:rsidRDefault="00000000" w:rsidRPr="00000000" w14:paraId="0000002A">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Feedback</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 manajemen komunitas belajar ini tidak berhenti pada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melainkan memiliki mekanisme Umpan Balik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Feedback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vital untuk menjamin keberlanjutan program. Umpan balik berfungsi sebagai arus informasi balik yang menghubungkan hasil capaian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Output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Outcome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dengan komponen awal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Inputs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dan 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Process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Hanya dalam hal ini, proses umpan balik belumm dilaksanakan secara optimal, sehingga masih menjadi masalah.</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44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26" w:right="0" w:firstLine="447.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426" w:right="0" w:hanging="284"/>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Pembatasan Masalah</w:t>
      </w:r>
    </w:p>
    <w:p w:rsidR="00000000" w:rsidDel="00000000" w:rsidP="00000000" w:rsidRDefault="00000000" w:rsidRPr="00000000" w14:paraId="0000002F">
      <w:pPr>
        <w:spacing w:line="360" w:lineRule="auto"/>
        <w:ind w:left="142" w:firstLine="34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Pembatasan masalah dilakukan pada faktor-faktor, aspek-aspek atau variabel-variabel dalam perumusan masalah yang akan di teliti, baik aspek subjek, objek, waktu dan fokus permasalahan. Guna memperjelas dan mempertajam hasil penelitian, peneliti hanya berfokus pada manajemen Komunitas Belajar dalam meningkatkan kompetensi digital guru di SDN 1 Darangdan dan SDN 2 Linggasari.</w:t>
      </w:r>
    </w:p>
    <w:p w:rsidR="00000000" w:rsidDel="00000000" w:rsidP="00000000" w:rsidRDefault="00000000" w:rsidRPr="00000000" w14:paraId="00000030">
      <w:pPr>
        <w:spacing w:line="360" w:lineRule="auto"/>
        <w:ind w:left="142" w:firstLine="34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Mengingat luasnya masalah yang diteliti, maka peneliti membatasi masalah dengan indikator sebagai berikut:</w:t>
      </w:r>
    </w:p>
    <w:p w:rsidR="00000000" w:rsidDel="00000000" w:rsidP="00000000" w:rsidRDefault="00000000" w:rsidRPr="00000000" w14:paraId="00000031">
      <w:pPr>
        <w:numPr>
          <w:ilvl w:val="0"/>
          <w:numId w:val="4"/>
        </w:numPr>
        <w:spacing w:after="0" w:line="360" w:lineRule="auto"/>
        <w:ind w:left="56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Perencanaan manajemen Komunitas Belajar dalam meningkatkan kompetensi digital guru di SDN 1 Darangdan dan SDN 2 Linggasari Kecamatan Darangdan Kabupaten Purwakarta, dengan indikator:</w:t>
      </w:r>
    </w:p>
    <w:p w:rsidR="00000000" w:rsidDel="00000000" w:rsidP="00000000" w:rsidRDefault="00000000" w:rsidRPr="00000000" w14:paraId="00000032">
      <w:pPr>
        <w:numPr>
          <w:ilvl w:val="0"/>
          <w:numId w:val="5"/>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Mengetahui kondisi awal Kompetensi Digital Guru.</w:t>
      </w:r>
    </w:p>
    <w:p w:rsidR="00000000" w:rsidDel="00000000" w:rsidP="00000000" w:rsidRDefault="00000000" w:rsidRPr="00000000" w14:paraId="00000033">
      <w:pPr>
        <w:numPr>
          <w:ilvl w:val="0"/>
          <w:numId w:val="5"/>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Menyusun program kerja Komunitas Belajar Guru.</w:t>
      </w:r>
    </w:p>
    <w:p w:rsidR="00000000" w:rsidDel="00000000" w:rsidP="00000000" w:rsidRDefault="00000000" w:rsidRPr="00000000" w14:paraId="00000034">
      <w:pPr>
        <w:numPr>
          <w:ilvl w:val="0"/>
          <w:numId w:val="5"/>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Menetapkan jadwal kegiatan Komunitas Belajar Guru.</w:t>
      </w:r>
    </w:p>
    <w:p w:rsidR="00000000" w:rsidDel="00000000" w:rsidP="00000000" w:rsidRDefault="00000000" w:rsidRPr="00000000" w14:paraId="00000035">
      <w:pPr>
        <w:numPr>
          <w:ilvl w:val="0"/>
          <w:numId w:val="4"/>
        </w:numPr>
        <w:spacing w:after="0" w:line="360" w:lineRule="auto"/>
        <w:ind w:left="56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Pengorganisasian manajemen Komunitas Belajar dalam meningkatkan kompetensi digital guru di SDN 1 Darangdan dan SDN 2 Linggasari Kecamatan Darangdan Kabupaten Purwakarta dengan indikator:</w:t>
      </w:r>
    </w:p>
    <w:p w:rsidR="00000000" w:rsidDel="00000000" w:rsidP="00000000" w:rsidRDefault="00000000" w:rsidRPr="00000000" w14:paraId="00000036">
      <w:pPr>
        <w:numPr>
          <w:ilvl w:val="0"/>
          <w:numId w:val="6"/>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Menyusun Stuktur Organisasi Komunitas Belajar.</w:t>
      </w:r>
    </w:p>
    <w:p w:rsidR="00000000" w:rsidDel="00000000" w:rsidP="00000000" w:rsidRDefault="00000000" w:rsidRPr="00000000" w14:paraId="00000037">
      <w:pPr>
        <w:numPr>
          <w:ilvl w:val="0"/>
          <w:numId w:val="6"/>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Membagi Tugas dan Tanggung Jawab organisasi Komunitas Belajar kepada sumber daya manusia yang tercantum dalam struktur organisasi.</w:t>
      </w:r>
    </w:p>
    <w:p w:rsidR="00000000" w:rsidDel="00000000" w:rsidP="00000000" w:rsidRDefault="00000000" w:rsidRPr="00000000" w14:paraId="00000038">
      <w:pPr>
        <w:numPr>
          <w:ilvl w:val="0"/>
          <w:numId w:val="6"/>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Menyediakan sumber daya pendukung pelaksanaan Komunitas Belajar.</w:t>
      </w:r>
    </w:p>
    <w:p w:rsidR="00000000" w:rsidDel="00000000" w:rsidP="00000000" w:rsidRDefault="00000000" w:rsidRPr="00000000" w14:paraId="00000039">
      <w:pPr>
        <w:numPr>
          <w:ilvl w:val="0"/>
          <w:numId w:val="4"/>
        </w:numPr>
        <w:spacing w:after="0" w:line="360" w:lineRule="auto"/>
        <w:ind w:left="56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Pelaksanaan manajemen Komunitas Belajar dalam meningkatkan kompetensi digital guru di SDN 1 Darangdan dan SDN 2 Linggasari Kecamatan Darangdan Kabupaten Purwakarta dengan indikator:</w:t>
      </w:r>
    </w:p>
    <w:p w:rsidR="00000000" w:rsidDel="00000000" w:rsidP="00000000" w:rsidRDefault="00000000" w:rsidRPr="00000000" w14:paraId="0000003A">
      <w:pPr>
        <w:numPr>
          <w:ilvl w:val="0"/>
          <w:numId w:val="7"/>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Strategi yang diterapkan dalam pengembangan Kompetensi Digital Guru.</w:t>
      </w:r>
    </w:p>
    <w:p w:rsidR="00000000" w:rsidDel="00000000" w:rsidP="00000000" w:rsidRDefault="00000000" w:rsidRPr="00000000" w14:paraId="0000003B">
      <w:pPr>
        <w:numPr>
          <w:ilvl w:val="0"/>
          <w:numId w:val="7"/>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yang digunakan dalam Komunitas Belajar Guru.</w:t>
      </w:r>
    </w:p>
    <w:p w:rsidR="00000000" w:rsidDel="00000000" w:rsidP="00000000" w:rsidRDefault="00000000" w:rsidRPr="00000000" w14:paraId="0000003C">
      <w:pPr>
        <w:numPr>
          <w:ilvl w:val="0"/>
          <w:numId w:val="7"/>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Aktivitas refleksi bersama dalam Komunitas Belajar Guru.</w:t>
      </w:r>
    </w:p>
    <w:p w:rsidR="00000000" w:rsidDel="00000000" w:rsidP="00000000" w:rsidRDefault="00000000" w:rsidRPr="00000000" w14:paraId="0000003D">
      <w:pPr>
        <w:spacing w:after="0" w:line="360" w:lineRule="auto"/>
        <w:ind w:left="56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numPr>
          <w:ilvl w:val="0"/>
          <w:numId w:val="4"/>
        </w:numPr>
        <w:spacing w:after="0" w:line="360" w:lineRule="auto"/>
        <w:ind w:left="56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Pengawasan/ Evaluasi manajemen Komunitas Belajar dalam meningkatkan kompetensi digital guru di SDN 1 Darangdan dan SDN 2 Linggasari Kecamatan Darangdan Kabupaten Purwakarta dengan indikator:</w:t>
      </w:r>
    </w:p>
    <w:p w:rsidR="00000000" w:rsidDel="00000000" w:rsidP="00000000" w:rsidRDefault="00000000" w:rsidRPr="00000000" w14:paraId="0000003F">
      <w:pPr>
        <w:numPr>
          <w:ilvl w:val="0"/>
          <w:numId w:val="8"/>
        </w:numPr>
        <w:spacing w:after="0" w:line="360" w:lineRule="auto"/>
        <w:ind w:left="851"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Mekanisme pengawasan dan penyusunan  laporan hasil kegiatan Komunitas Belajar Guru.</w:t>
      </w:r>
    </w:p>
    <w:p w:rsidR="00000000" w:rsidDel="00000000" w:rsidP="00000000" w:rsidRDefault="00000000" w:rsidRPr="00000000" w14:paraId="00000040">
      <w:pPr>
        <w:numPr>
          <w:ilvl w:val="0"/>
          <w:numId w:val="8"/>
        </w:numPr>
        <w:spacing w:line="360" w:lineRule="auto"/>
        <w:ind w:left="851"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Melakukan tindak lanjut dari hasil evaluasi. Hasil evaluasi digunakan untuk merancang perbaikan manajemen Komunitas Belajar di masa mendatang dalam meningkatkan kompetensi digital guru.</w:t>
      </w:r>
    </w:p>
    <w:p w:rsidR="00000000" w:rsidDel="00000000" w:rsidP="00000000" w:rsidRDefault="00000000" w:rsidRPr="00000000" w14:paraId="00000041">
      <w:pPr>
        <w:numPr>
          <w:ilvl w:val="0"/>
          <w:numId w:val="8"/>
        </w:numPr>
        <w:spacing w:line="360" w:lineRule="auto"/>
        <w:ind w:left="851"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Kompetensi digital yang dikuasai setelah mengikuti program di Komunitas Belajar Guru.</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Kendala manajemen Komunitas Belajar dalam meningkatkan kompetensi digital guru di SDN 1 Darangdan dan SDN 2 Linggasari Kecamatan Darangdan Kabupaten Purwakarta dengan indikator:</w:t>
      </w:r>
    </w:p>
    <w:p w:rsidR="00000000" w:rsidDel="00000000" w:rsidP="00000000" w:rsidRDefault="00000000" w:rsidRPr="00000000" w14:paraId="0000004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Keterbatasan waktu</w:t>
      </w:r>
    </w:p>
    <w:p w:rsidR="00000000" w:rsidDel="00000000" w:rsidP="00000000" w:rsidRDefault="00000000" w:rsidRPr="00000000" w14:paraId="0000004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Kurangnya sarana TIK</w:t>
      </w:r>
    </w:p>
    <w:p w:rsidR="00000000" w:rsidDel="00000000" w:rsidP="00000000" w:rsidRDefault="00000000" w:rsidRPr="00000000" w14:paraId="0000004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Kurangnya semangat belajar guru</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Solusi manajemen Komunitas Belajar dalam meningkatkan kompetensi digital guru di SDN 1 Darangdan dan SDN 2 Linggasari Kecamatan Darangdan Kabupaten Purwakarta dengan indikator:</w:t>
      </w:r>
    </w:p>
    <w:p w:rsidR="00000000" w:rsidDel="00000000" w:rsidP="00000000" w:rsidRDefault="00000000" w:rsidRPr="00000000" w14:paraId="0000004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Mengatasi Keterbatasan waktu</w:t>
      </w:r>
    </w:p>
    <w:p w:rsidR="00000000" w:rsidDel="00000000" w:rsidP="00000000" w:rsidRDefault="00000000" w:rsidRPr="00000000" w14:paraId="0000004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Mengoptimalkan sarana TIK</w:t>
      </w:r>
    </w:p>
    <w:p w:rsidR="00000000" w:rsidDel="00000000" w:rsidP="00000000" w:rsidRDefault="00000000" w:rsidRPr="00000000" w14:paraId="0000004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851"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Motivasi belajar guru</w:t>
      </w:r>
    </w:p>
    <w:p w:rsidR="00000000" w:rsidDel="00000000" w:rsidP="00000000" w:rsidRDefault="00000000" w:rsidRPr="00000000" w14:paraId="0000004A">
      <w:pPr>
        <w:pStyle w:val="Heading2"/>
        <w:numPr>
          <w:ilvl w:val="0"/>
          <w:numId w:val="16"/>
        </w:numPr>
        <w:ind w:left="426" w:hanging="357"/>
        <w:rPr/>
      </w:pPr>
      <w:bookmarkStart w:colFirst="0" w:colLast="0" w:name="_bugdn8hf609k" w:id="5"/>
      <w:bookmarkEnd w:id="5"/>
      <w:r w:rsidDel="00000000" w:rsidR="00000000" w:rsidRPr="00000000">
        <w:rPr>
          <w:rtl w:val="0"/>
        </w:rPr>
        <w:t xml:space="preserve">Tujuan dan Manfaat Penelitian</w:t>
      </w:r>
    </w:p>
    <w:p w:rsidR="00000000" w:rsidDel="00000000" w:rsidP="00000000" w:rsidRDefault="00000000" w:rsidRPr="00000000" w14:paraId="0000004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360" w:lineRule="auto"/>
        <w:ind w:left="426" w:right="0" w:hanging="240"/>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Penelitian</w:t>
      </w:r>
    </w:p>
    <w:p w:rsidR="00000000" w:rsidDel="00000000" w:rsidP="00000000" w:rsidRDefault="00000000" w:rsidRPr="00000000" w14:paraId="0000004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Umum</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umum penelitian ini adalah untuk mendeskripsikan dan menganalisis secara mendalam manajemen Komunitas Belajar guru dalam upaya meningkatkan kompetensi digital guru di SDN 1 Darangdan dan SDN 2 Linggasari, Kecamatan Darangdan.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51"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51"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Khusus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Secara lebih spesifik, penelitian ini bertujuan untuk menganalisis:</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program Komunitas Belajar guru di SDN 1 Darangdan dan SDN 2 Linggasari dalam rangka meningkatkan kompetensi digital guru.</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Komunitas Belajar guru di SDN 1 Darangdan dan SDN 2 Linggasari untuk mendukung peningkatan kompetensi digital guru.</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program dan aktivitas Komunitas Belajar guru di SDN 1 Darangdan dan SDN 2 Linggasari dalam upaya meningkatkan kompetensi digital guru.</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Pengawasan/ Evaluasi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program Komunitas Belajar guru dalam peningkatan kompetensi digital guru di SDN 1 Darangdan dan SDN 2 Linggasari.</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Faktor penghambat dalam Manajemen Komunitas Belajar guru di SDN 1 Darangdan dan SDN 2 Linggasari untuk meningkatkan kompetensi digital guru.</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Solusi mengatasi hambatan dalam Manajemen Komunitas Belajar guru di SDN 1 Darangdan dan SDN 2 Linggasari untuk meningkatkan kompetensi digital guru.</w:t>
      </w:r>
    </w:p>
    <w:p w:rsidR="00000000" w:rsidDel="00000000" w:rsidP="00000000" w:rsidRDefault="00000000" w:rsidRPr="00000000" w14:paraId="00000058">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360" w:lineRule="auto"/>
        <w:ind w:left="426" w:right="0" w:hanging="240"/>
        <w:jc w:val="both"/>
        <w:rPr>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Penelitian</w:t>
      </w:r>
    </w:p>
    <w:p w:rsidR="00000000" w:rsidDel="00000000" w:rsidP="00000000" w:rsidRDefault="00000000" w:rsidRPr="00000000" w14:paraId="0000005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Teoritis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61.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diharapkan dapat memperkaya khazanah ilmu manajemen pendidikan, khususnya dalam konteks penerapan fungsi-fungsi manajemen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POAC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dari George R. Terry pada Komunitas Belajar di Sekolah Dasar. Secara teoritis, penelitian ini berkontribusi pada studi tentang pengembangan profesionalisme guru dengan memberikan bukti empiris mengenai bagaimana manajemen sebuah Komunitas Belajar secara spesifik dapat diorganisir untuk mengakselerasi peningkatan kompetensi digital, yang merupakan tuntutan profesi di era modern.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firstLine="261.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Manfaat Praktis</w:t>
      </w:r>
    </w:p>
    <w:p w:rsidR="00000000" w:rsidDel="00000000" w:rsidP="00000000" w:rsidRDefault="00000000" w:rsidRPr="00000000" w14:paraId="0000005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Kepala Sekolah</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menjadi bahan masukan dan evaluasi bagi kepala sekolah di SDN 1 Darangdan dan SDN 2 Linggasari (serta kepala sekolah lain) dalam merumuskan kebijakan dan strategi manajemen untuk mengoptimalkan peran Komunitas Belajar sebagai wadah peningkatan kompetensi guru.</w:t>
      </w:r>
    </w:p>
    <w:p w:rsidR="00000000" w:rsidDel="00000000" w:rsidP="00000000" w:rsidRDefault="00000000" w:rsidRPr="00000000" w14:paraId="0000005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Guru</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Penelitian ini diharapkan memberikan gambaran nyata tentang praktik baik dan tantangan dalam pengelolaan Komunitas Belajar. Ini dapat memotivasi guru untuk lebih proaktif memanfaatkan Komunitas Belajar, hari belajar guru, dan sarana teknologi informasi yang tersedia untuk pengembangan profesionalisme guru secara mandiri dan kolaboratif.</w:t>
      </w:r>
    </w:p>
    <w:p w:rsidR="00000000" w:rsidDel="00000000" w:rsidP="00000000" w:rsidRDefault="00000000" w:rsidRPr="00000000" w14:paraId="0000006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Dinas Pendidikan</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Temuan penelitian ini dapat menjadi data lapangan yang berharga bagi Dinas Pendidikan sebagai bahan pertimbangan dalam merancang program pembinaan, pendampingan, dan pengawasan Komunitas Belajar di sekolah-sekolah lain di Kecamatan Darangdan dan sekitarnya, agar lebih efektif dalam mendukung transformasi digital.</w:t>
      </w:r>
    </w:p>
    <w:p w:rsidR="00000000" w:rsidDel="00000000" w:rsidP="00000000" w:rsidRDefault="00000000" w:rsidRPr="00000000" w14:paraId="0000006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Bagi Peneliti Selanjutnya.</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Hasil penelitian ini dapat dijadikan dasar bagi peneliti selanjutnya dalam melakukan penelitian yang relevan.</w:t>
      </w:r>
    </w:p>
    <w:p w:rsidR="00000000" w:rsidDel="00000000" w:rsidP="00000000" w:rsidRDefault="00000000" w:rsidRPr="00000000" w14:paraId="00000065">
      <w:pPr>
        <w:pStyle w:val="Heading2"/>
        <w:numPr>
          <w:ilvl w:val="0"/>
          <w:numId w:val="16"/>
        </w:numPr>
        <w:ind w:left="426" w:hanging="360"/>
        <w:rPr/>
      </w:pPr>
      <w:bookmarkStart w:colFirst="0" w:colLast="0" w:name="_ldwjhmv007xi" w:id="6"/>
      <w:bookmarkEnd w:id="6"/>
      <w:r w:rsidDel="00000000" w:rsidR="00000000" w:rsidRPr="00000000">
        <w:rPr>
          <w:rtl w:val="0"/>
        </w:rPr>
        <w:t xml:space="preserve">Pertanyaan Penelitian</w:t>
      </w:r>
    </w:p>
    <w:p w:rsidR="00000000" w:rsidDel="00000000" w:rsidP="00000000" w:rsidRDefault="00000000" w:rsidRPr="00000000" w14:paraId="00000066">
      <w:pPr>
        <w:spacing w:line="360" w:lineRule="auto"/>
        <w:ind w:left="142"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rumusan masalah di atas, maka pertanyaan penelitian ini dirumuskan sebagai berikut:</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perencanaan program Komunitas Belajar guru dalam meningkatkan kompetensi digital guru di SDN 1 Darangdan dan SDN 2 Linggasari?</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pengorganisasian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Komunitas Belajar guru untuk mendukung peningkatan kompetensi digital guru di SDN 1 Darangdan dan SDN 2 Linggasari?</w:t>
      </w:r>
    </w:p>
    <w:p w:rsidR="00000000" w:rsidDel="00000000" w:rsidP="00000000" w:rsidRDefault="00000000" w:rsidRPr="00000000" w14:paraId="0000006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pelaksanaan program Komunitas Belajar guru dalam upaya meningkatkan kompetensi digital guru di SDN 1 Darangdan dan SDN 2 Linggasari?</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Pengawasan/ Evaluasi program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Komunitas Belajar guru terhadap peningkatan kompetensi digital guru di SDN 1 Darangdan dan SDN 2 Linggasari?</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faktor penghambat dalam Manajemen Komunitas Belajar guru di SDN 1 Darangdan dan SDN 2 Linggasari untuk meningkatkan kompetensi digital guru?</w:t>
      </w:r>
    </w:p>
    <w:p w:rsidR="00000000" w:rsidDel="00000000" w:rsidP="00000000" w:rsidRDefault="00000000" w:rsidRPr="00000000" w14:paraId="000000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Bagaimana solusi untuk mengatasi hambatan dalam Manajemen Komunitas Belajar guru di SDN 1 Darangdan dan SDN 2 Linggasari untuk meningkatkan kompetensi digital guru?</w:t>
      </w:r>
    </w:p>
    <w:p w:rsidR="00000000" w:rsidDel="00000000" w:rsidP="00000000" w:rsidRDefault="00000000" w:rsidRPr="00000000" w14:paraId="0000006D">
      <w:pPr>
        <w:spacing w:line="360" w:lineRule="auto"/>
        <w:jc w:val="both"/>
        <w:rPr>
          <w:rFonts w:ascii="Times New Roman" w:cs="Times New Roman" w:eastAsia="Times New Roman" w:hAnsi="Times New Roman"/>
          <w:sz w:val="24"/>
          <w:szCs w:val="24"/>
        </w:rPr>
        <w:sectPr>
          <w:headerReference r:id="rId7" w:type="default"/>
          <w:headerReference r:id="rId8" w:type="first"/>
          <w:footerReference r:id="rId9" w:type="first"/>
          <w:pgSz w:h="16838" w:w="11906" w:orient="portrait"/>
          <w:pgMar w:bottom="1701" w:top="2268" w:left="2268" w:right="1701" w:header="708" w:footer="708"/>
          <w:pgNumType w:start="1"/>
          <w:titlePg w:val="1"/>
        </w:sectPr>
      </w:pPr>
      <w:r w:rsidDel="00000000" w:rsidR="00000000" w:rsidRPr="00000000">
        <w:rPr>
          <w:rtl w:val="0"/>
        </w:rPr>
      </w:r>
    </w:p>
    <w:p w:rsidR="00000000" w:rsidDel="00000000" w:rsidP="00000000" w:rsidRDefault="00000000" w:rsidRPr="00000000" w14:paraId="0000006E">
      <w:pPr>
        <w:pStyle w:val="Heading1"/>
        <w:spacing w:line="360" w:lineRule="auto"/>
        <w:jc w:val="left"/>
        <w:rPr/>
      </w:pPr>
      <w:r w:rsidDel="00000000" w:rsidR="00000000" w:rsidRPr="00000000">
        <w:rPr>
          <w:rtl w:val="0"/>
        </w:rPr>
      </w:r>
    </w:p>
    <w:sectPr>
      <w:footerReference r:id="rId10" w:type="default"/>
      <w:type w:val="nextPage"/>
      <w:pgSz w:h="16838" w:w="11906" w:orient="portrait"/>
      <w:pgMar w:bottom="1701" w:top="2268" w:left="2268" w:right="1701"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21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08" w:hanging="354"/>
      </w:pPr>
      <w:rPr>
        <w:rFonts w:ascii="Times New Roman" w:cs="Times New Roman" w:eastAsia="Times New Roman" w:hAnsi="Times New Roman"/>
        <w:b w:val="1"/>
        <w:bCs w:val="1"/>
        <w:sz w:val="24"/>
        <w:szCs w:val="24"/>
      </w:rPr>
    </w:lvl>
    <w:lvl w:ilvl="1">
      <w:start w:val="1"/>
      <w:numFmt w:val="decimal"/>
      <w:lvlText w:val="%2."/>
      <w:lvlJc w:val="left"/>
      <w:pPr>
        <w:ind w:left="895" w:hanging="240"/>
      </w:pPr>
      <w:rPr>
        <w:rFonts w:ascii="Times New Roman" w:cs="Times New Roman" w:eastAsia="Times New Roman" w:hAnsi="Times New Roman"/>
        <w:sz w:val="24"/>
        <w:szCs w:val="24"/>
      </w:rPr>
    </w:lvl>
    <w:lvl w:ilvl="2">
      <w:start w:val="0"/>
      <w:numFmt w:val="bullet"/>
      <w:lvlText w:val="•"/>
      <w:lvlJc w:val="left"/>
      <w:pPr>
        <w:ind w:left="1293" w:hanging="240"/>
      </w:pPr>
      <w:rPr/>
    </w:lvl>
    <w:lvl w:ilvl="3">
      <w:start w:val="0"/>
      <w:numFmt w:val="bullet"/>
      <w:lvlText w:val="•"/>
      <w:lvlJc w:val="left"/>
      <w:pPr>
        <w:ind w:left="1687" w:hanging="240"/>
      </w:pPr>
      <w:rPr/>
    </w:lvl>
    <w:lvl w:ilvl="4">
      <w:start w:val="0"/>
      <w:numFmt w:val="bullet"/>
      <w:lvlText w:val="•"/>
      <w:lvlJc w:val="left"/>
      <w:pPr>
        <w:ind w:left="2081" w:hanging="240"/>
      </w:pPr>
      <w:rPr/>
    </w:lvl>
    <w:lvl w:ilvl="5">
      <w:start w:val="0"/>
      <w:numFmt w:val="bullet"/>
      <w:lvlText w:val="•"/>
      <w:lvlJc w:val="left"/>
      <w:pPr>
        <w:ind w:left="2475" w:hanging="240"/>
      </w:pPr>
      <w:rPr/>
    </w:lvl>
    <w:lvl w:ilvl="6">
      <w:start w:val="0"/>
      <w:numFmt w:val="bullet"/>
      <w:lvlText w:val="•"/>
      <w:lvlJc w:val="left"/>
      <w:pPr>
        <w:ind w:left="2869" w:hanging="240"/>
      </w:pPr>
      <w:rPr/>
    </w:lvl>
    <w:lvl w:ilvl="7">
      <w:start w:val="0"/>
      <w:numFmt w:val="bullet"/>
      <w:lvlText w:val="•"/>
      <w:lvlJc w:val="left"/>
      <w:pPr>
        <w:ind w:left="3263" w:hanging="240"/>
      </w:pPr>
      <w:rPr/>
    </w:lvl>
    <w:lvl w:ilvl="8">
      <w:start w:val="0"/>
      <w:numFmt w:val="bullet"/>
      <w:lvlText w:val="•"/>
      <w:lvlJc w:val="left"/>
      <w:pPr>
        <w:ind w:left="3657" w:hanging="24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rFonts w:ascii="Times New Roman" w:cs="Times New Roman" w:eastAsia="Times New Roman" w:hAnsi="Times New Roman"/>
        <w:b w:val="1"/>
        <w:bCs w:val="1"/>
        <w:sz w:val="24"/>
        <w:szCs w:val="24"/>
      </w:rPr>
    </w:lvl>
    <w:lvl w:ilvl="3">
      <w:start w:val="1"/>
      <w:numFmt w:val="lowerLetter"/>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160" w:hanging="360"/>
      </w:pPr>
      <w:rPr/>
    </w:lvl>
    <w:lvl w:ilvl="3">
      <w:start w:val="1"/>
      <w:numFmt w:val="decimal"/>
      <w:lvlText w:val="%4)"/>
      <w:lvlJc w:val="left"/>
      <w:pPr>
        <w:ind w:left="2930" w:hanging="41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
    <w:lvl w:ilvl="0">
      <w:start w:val="1"/>
      <w:numFmt w:val="decimal"/>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6">
    <w:lvl w:ilvl="0">
      <w:start w:val="1"/>
      <w:numFmt w:val="decimal"/>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7">
    <w:lvl w:ilvl="0">
      <w:start w:val="1"/>
      <w:numFmt w:val="decimal"/>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8">
    <w:lvl w:ilvl="0">
      <w:start w:val="1"/>
      <w:numFmt w:val="decimal"/>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9">
    <w:lvl w:ilvl="0">
      <w:start w:val="1"/>
      <w:numFmt w:val="lowerLetter"/>
      <w:lvlText w:val="%1."/>
      <w:lvlJc w:val="left"/>
      <w:pPr>
        <w:ind w:left="1255" w:hanging="360"/>
      </w:pPr>
      <w:rPr/>
    </w:lvl>
    <w:lvl w:ilvl="1">
      <w:start w:val="1"/>
      <w:numFmt w:val="lowerLetter"/>
      <w:lvlText w:val="%2."/>
      <w:lvlJc w:val="left"/>
      <w:pPr>
        <w:ind w:left="1975" w:hanging="360"/>
      </w:pPr>
      <w:rPr/>
    </w:lvl>
    <w:lvl w:ilvl="2">
      <w:start w:val="1"/>
      <w:numFmt w:val="lowerRoman"/>
      <w:lvlText w:val="%3."/>
      <w:lvlJc w:val="right"/>
      <w:pPr>
        <w:ind w:left="2695" w:hanging="180"/>
      </w:pPr>
      <w:rPr/>
    </w:lvl>
    <w:lvl w:ilvl="3">
      <w:start w:val="1"/>
      <w:numFmt w:val="decimal"/>
      <w:lvlText w:val="%4."/>
      <w:lvlJc w:val="left"/>
      <w:pPr>
        <w:ind w:left="3415" w:hanging="360"/>
      </w:pPr>
      <w:rPr/>
    </w:lvl>
    <w:lvl w:ilvl="4">
      <w:start w:val="1"/>
      <w:numFmt w:val="lowerLetter"/>
      <w:lvlText w:val="%5."/>
      <w:lvlJc w:val="left"/>
      <w:pPr>
        <w:ind w:left="4135" w:hanging="360"/>
      </w:pPr>
      <w:rPr/>
    </w:lvl>
    <w:lvl w:ilvl="5">
      <w:start w:val="1"/>
      <w:numFmt w:val="lowerRoman"/>
      <w:lvlText w:val="%6."/>
      <w:lvlJc w:val="right"/>
      <w:pPr>
        <w:ind w:left="4855" w:hanging="180"/>
      </w:pPr>
      <w:rPr/>
    </w:lvl>
    <w:lvl w:ilvl="6">
      <w:start w:val="1"/>
      <w:numFmt w:val="decimal"/>
      <w:lvlText w:val="%7."/>
      <w:lvlJc w:val="left"/>
      <w:pPr>
        <w:ind w:left="5575" w:hanging="360"/>
      </w:pPr>
      <w:rPr/>
    </w:lvl>
    <w:lvl w:ilvl="7">
      <w:start w:val="1"/>
      <w:numFmt w:val="lowerLetter"/>
      <w:lvlText w:val="%8."/>
      <w:lvlJc w:val="left"/>
      <w:pPr>
        <w:ind w:left="6295" w:hanging="360"/>
      </w:pPr>
      <w:rPr/>
    </w:lvl>
    <w:lvl w:ilvl="8">
      <w:start w:val="1"/>
      <w:numFmt w:val="lowerRoman"/>
      <w:lvlText w:val="%9."/>
      <w:lvlJc w:val="right"/>
      <w:pPr>
        <w:ind w:left="7015" w:hanging="180"/>
      </w:pPr>
      <w:rPr/>
    </w:lvl>
  </w:abstractNum>
  <w:abstractNum w:abstractNumId="10">
    <w:lvl w:ilvl="0">
      <w:start w:val="1"/>
      <w:numFmt w:val="lowerLetter"/>
      <w:lvlText w:val="%1."/>
      <w:lvlJc w:val="left"/>
      <w:pPr>
        <w:ind w:left="1450" w:hanging="360"/>
      </w:pPr>
      <w:rPr>
        <w:b w:val="1"/>
        <w:bCs w:val="1"/>
        <w:i w:val="0"/>
        <w:iCs w:val="0"/>
      </w:rPr>
    </w:lvl>
    <w:lvl w:ilvl="1">
      <w:start w:val="1"/>
      <w:numFmt w:val="lowerLetter"/>
      <w:lvlText w:val="%2."/>
      <w:lvlJc w:val="left"/>
      <w:pPr>
        <w:ind w:left="2170" w:hanging="360"/>
      </w:pPr>
      <w:rPr/>
    </w:lvl>
    <w:lvl w:ilvl="2">
      <w:start w:val="1"/>
      <w:numFmt w:val="lowerRoman"/>
      <w:lvlText w:val="%3."/>
      <w:lvlJc w:val="right"/>
      <w:pPr>
        <w:ind w:left="2890" w:hanging="180"/>
      </w:pPr>
      <w:rPr/>
    </w:lvl>
    <w:lvl w:ilvl="3">
      <w:start w:val="1"/>
      <w:numFmt w:val="decimal"/>
      <w:lvlText w:val="%4."/>
      <w:lvlJc w:val="left"/>
      <w:pPr>
        <w:ind w:left="3610" w:hanging="360"/>
      </w:pPr>
      <w:rPr/>
    </w:lvl>
    <w:lvl w:ilvl="4">
      <w:start w:val="1"/>
      <w:numFmt w:val="lowerLetter"/>
      <w:lvlText w:val="%5."/>
      <w:lvlJc w:val="left"/>
      <w:pPr>
        <w:ind w:left="4330" w:hanging="360"/>
      </w:pPr>
      <w:rPr/>
    </w:lvl>
    <w:lvl w:ilvl="5">
      <w:start w:val="1"/>
      <w:numFmt w:val="lowerRoman"/>
      <w:lvlText w:val="%6."/>
      <w:lvlJc w:val="right"/>
      <w:pPr>
        <w:ind w:left="5050" w:hanging="180"/>
      </w:pPr>
      <w:rPr/>
    </w:lvl>
    <w:lvl w:ilvl="6">
      <w:start w:val="1"/>
      <w:numFmt w:val="decimal"/>
      <w:lvlText w:val="%7."/>
      <w:lvlJc w:val="left"/>
      <w:pPr>
        <w:ind w:left="5770" w:hanging="360"/>
      </w:pPr>
      <w:rPr/>
    </w:lvl>
    <w:lvl w:ilvl="7">
      <w:start w:val="1"/>
      <w:numFmt w:val="lowerLetter"/>
      <w:lvlText w:val="%8."/>
      <w:lvlJc w:val="left"/>
      <w:pPr>
        <w:ind w:left="6490" w:hanging="360"/>
      </w:pPr>
      <w:rPr/>
    </w:lvl>
    <w:lvl w:ilvl="8">
      <w:start w:val="1"/>
      <w:numFmt w:val="lowerRoman"/>
      <w:lvlText w:val="%9."/>
      <w:lvlJc w:val="right"/>
      <w:pPr>
        <w:ind w:left="7210" w:hanging="180"/>
      </w:pPr>
      <w:rPr/>
    </w:lvl>
  </w:abstractNum>
  <w:abstractNum w:abstractNumId="11">
    <w:lvl w:ilvl="0">
      <w:start w:val="1"/>
      <w:numFmt w:val="decimal"/>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12">
    <w:lvl w:ilvl="0">
      <w:start w:val="1"/>
      <w:numFmt w:val="decimal"/>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13">
    <w:lvl w:ilvl="0">
      <w:start w:val="1"/>
      <w:numFmt w:val="lowerLetter"/>
      <w:lvlText w:val="%1."/>
      <w:lvlJc w:val="left"/>
      <w:pPr>
        <w:ind w:left="1255" w:hanging="360"/>
      </w:pPr>
      <w:rPr/>
    </w:lvl>
    <w:lvl w:ilvl="1">
      <w:start w:val="1"/>
      <w:numFmt w:val="lowerLetter"/>
      <w:lvlText w:val="%2."/>
      <w:lvlJc w:val="left"/>
      <w:pPr>
        <w:ind w:left="1975" w:hanging="360"/>
      </w:pPr>
      <w:rPr/>
    </w:lvl>
    <w:lvl w:ilvl="2">
      <w:start w:val="1"/>
      <w:numFmt w:val="lowerRoman"/>
      <w:lvlText w:val="%3."/>
      <w:lvlJc w:val="right"/>
      <w:pPr>
        <w:ind w:left="2695" w:hanging="180"/>
      </w:pPr>
      <w:rPr/>
    </w:lvl>
    <w:lvl w:ilvl="3">
      <w:start w:val="1"/>
      <w:numFmt w:val="decimal"/>
      <w:lvlText w:val="%4."/>
      <w:lvlJc w:val="left"/>
      <w:pPr>
        <w:ind w:left="3415" w:hanging="360"/>
      </w:pPr>
      <w:rPr/>
    </w:lvl>
    <w:lvl w:ilvl="4">
      <w:start w:val="1"/>
      <w:numFmt w:val="lowerLetter"/>
      <w:lvlText w:val="%5."/>
      <w:lvlJc w:val="left"/>
      <w:pPr>
        <w:ind w:left="4135" w:hanging="360"/>
      </w:pPr>
      <w:rPr/>
    </w:lvl>
    <w:lvl w:ilvl="5">
      <w:start w:val="1"/>
      <w:numFmt w:val="lowerRoman"/>
      <w:lvlText w:val="%6."/>
      <w:lvlJc w:val="right"/>
      <w:pPr>
        <w:ind w:left="4855" w:hanging="180"/>
      </w:pPr>
      <w:rPr/>
    </w:lvl>
    <w:lvl w:ilvl="6">
      <w:start w:val="1"/>
      <w:numFmt w:val="decimal"/>
      <w:lvlText w:val="%7."/>
      <w:lvlJc w:val="left"/>
      <w:pPr>
        <w:ind w:left="5575" w:hanging="360"/>
      </w:pPr>
      <w:rPr/>
    </w:lvl>
    <w:lvl w:ilvl="7">
      <w:start w:val="1"/>
      <w:numFmt w:val="lowerLetter"/>
      <w:lvlText w:val="%8."/>
      <w:lvlJc w:val="left"/>
      <w:pPr>
        <w:ind w:left="6295" w:hanging="360"/>
      </w:pPr>
      <w:rPr/>
    </w:lvl>
    <w:lvl w:ilvl="8">
      <w:start w:val="1"/>
      <w:numFmt w:val="lowerRoman"/>
      <w:lvlText w:val="%9."/>
      <w:lvlJc w:val="right"/>
      <w:pPr>
        <w:ind w:left="7015" w:hanging="180"/>
      </w:pPr>
      <w:rPr/>
    </w:lvl>
  </w:abstractNum>
  <w:abstractNum w:abstractNumId="14">
    <w:lvl w:ilvl="0">
      <w:start w:val="1"/>
      <w:numFmt w:val="decimal"/>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15">
    <w:lvl w:ilvl="0">
      <w:start w:val="1"/>
      <w:numFmt w:val="decimal"/>
      <w:lvlText w:val="%1)"/>
      <w:lvlJc w:val="left"/>
      <w:pPr>
        <w:ind w:left="1996" w:hanging="360"/>
      </w:pPr>
      <w:rPr/>
    </w:lvl>
    <w:lvl w:ilvl="1">
      <w:start w:val="1"/>
      <w:numFmt w:val="lowerLetter"/>
      <w:lvlText w:val="%2."/>
      <w:lvlJc w:val="left"/>
      <w:pPr>
        <w:ind w:left="2716" w:hanging="360"/>
      </w:pPr>
      <w:rPr/>
    </w:lvl>
    <w:lvl w:ilvl="2">
      <w:start w:val="1"/>
      <w:numFmt w:val="lowerRoman"/>
      <w:lvlText w:val="%3."/>
      <w:lvlJc w:val="right"/>
      <w:pPr>
        <w:ind w:left="3436" w:hanging="180"/>
      </w:pPr>
      <w:rPr/>
    </w:lvl>
    <w:lvl w:ilvl="3">
      <w:start w:val="1"/>
      <w:numFmt w:val="decimal"/>
      <w:lvlText w:val="%4."/>
      <w:lvlJc w:val="left"/>
      <w:pPr>
        <w:ind w:left="4156" w:hanging="360"/>
      </w:pPr>
      <w:rPr/>
    </w:lvl>
    <w:lvl w:ilvl="4">
      <w:start w:val="1"/>
      <w:numFmt w:val="lowerLetter"/>
      <w:lvlText w:val="%5."/>
      <w:lvlJc w:val="left"/>
      <w:pPr>
        <w:ind w:left="4876" w:hanging="360"/>
      </w:pPr>
      <w:rPr/>
    </w:lvl>
    <w:lvl w:ilvl="5">
      <w:start w:val="1"/>
      <w:numFmt w:val="lowerRoman"/>
      <w:lvlText w:val="%6."/>
      <w:lvlJc w:val="right"/>
      <w:pPr>
        <w:ind w:left="5596" w:hanging="180"/>
      </w:pPr>
      <w:rPr/>
    </w:lvl>
    <w:lvl w:ilvl="6">
      <w:start w:val="1"/>
      <w:numFmt w:val="decimal"/>
      <w:lvlText w:val="%7."/>
      <w:lvlJc w:val="left"/>
      <w:pPr>
        <w:ind w:left="6316" w:hanging="360"/>
      </w:pPr>
      <w:rPr/>
    </w:lvl>
    <w:lvl w:ilvl="7">
      <w:start w:val="1"/>
      <w:numFmt w:val="lowerLetter"/>
      <w:lvlText w:val="%8."/>
      <w:lvlJc w:val="left"/>
      <w:pPr>
        <w:ind w:left="7036" w:hanging="360"/>
      </w:pPr>
      <w:rPr/>
    </w:lvl>
    <w:lvl w:ilvl="8">
      <w:start w:val="1"/>
      <w:numFmt w:val="lowerRoman"/>
      <w:lvlText w:val="%9."/>
      <w:lvlJc w:val="right"/>
      <w:pPr>
        <w:ind w:left="7756" w:hanging="180"/>
      </w:pPr>
      <w:rPr/>
    </w:lvl>
  </w:abstractNum>
  <w:abstractNum w:abstractNumId="16">
    <w:lvl w:ilvl="0">
      <w:start w:val="1"/>
      <w:numFmt w:val="upperLetter"/>
      <w:lvlText w:val="%1."/>
      <w:lvlJc w:val="left"/>
      <w:pPr>
        <w:ind w:left="720" w:hanging="360"/>
      </w:pPr>
      <w:rPr>
        <w:b w:val="1"/>
        <w:bCs w:val="1"/>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895" w:hanging="240"/>
      </w:pPr>
      <w:rPr>
        <w:rFonts w:ascii="Times New Roman" w:cs="Times New Roman" w:eastAsia="Times New Roman" w:hAnsi="Times New Roman"/>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rFonts w:ascii="Times New Roman" w:cs="Times New Roman" w:eastAsia="Times New Roman" w:hAnsi="Times New Roman"/>
      <w:b w:val="1"/>
      <w:bCs w:val="1"/>
      <w:i w:val="1"/>
      <w:iCs w:val="1"/>
      <w:sz w:val="24"/>
      <w:szCs w:val="24"/>
    </w:rPr>
  </w:style>
  <w:style w:type="paragraph" w:styleId="Heading2">
    <w:name w:val="heading 2"/>
    <w:basedOn w:val="Normal"/>
    <w:next w:val="Normal"/>
    <w:pPr>
      <w:widowControl w:val="0"/>
      <w:spacing w:line="360" w:lineRule="auto"/>
      <w:ind w:left="72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